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6.2  ·  SECTION 6: ISO 20000 IN THE INDONESIAN CONTEXT</w:t>
      </w:r>
    </w:p>
    <w:p>
      <w:pPr>
        <w:spacing w:after="120"/>
      </w:pPr>
      <w:r>
        <w:rPr>
          <w:rFonts w:ascii="Arial" w:cs="Arial" w:eastAsia="Arial" w:hAnsi="Arial"/>
          <w:b/>
          <w:bCs/>
          <w:caps w:val="false"/>
          <w:color w:val="1B3A5C"/>
          <w:sz w:val="44"/>
          <w:szCs w:val="44"/>
        </w:rPr>
        <w:t xml:space="preserve">ISO 20000 for Indonesian Managed Service Providers: Market Positioning and Implementation</w:t>
      </w:r>
    </w:p>
    <w:p>
      <w:pPr>
        <w:spacing w:after="60"/>
      </w:pPr>
      <w:r>
        <w:rPr>
          <w:rFonts w:ascii="Georgia" w:cs="Georgia" w:eastAsia="Georgia" w:hAnsi="Georgia"/>
          <w:b w:val="false"/>
          <w:bCs w:val="false"/>
          <w:color w:val="4B5563"/>
          <w:sz w:val="24"/>
          <w:szCs w:val="24"/>
        </w:rPr>
        <w:t xml:space="preserve">Sector-specific guidance for Indonesian MSPs — how ISO 20000 certification positions MSPs in enterprise and government procurement, MSP-specific scope considerations, multi-client service management, and the commercial differentiator that certification provides in the Indonesian managed services market.</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Indonesian MSP Landscape</w:t>
      </w:r>
    </w:p>
    <w:p>
      <w:pPr>
        <w:spacing w:after="160" w:line="320"/>
        <w:jc w:val="both"/>
      </w:pPr>
      <w:r>
        <w:rPr>
          <w:rFonts w:ascii="Georgia" w:cs="Georgia" w:eastAsia="Georgia" w:hAnsi="Georgia"/>
          <w:b w:val="false"/>
          <w:bCs w:val="false"/>
          <w:color w:val="111827"/>
          <w:sz w:val="22"/>
          <w:szCs w:val="22"/>
        </w:rPr>
        <w:t xml:space="preserve">Indonesia's IT outsourcing market is expanding rapidly. Enterprise clients in financial services, manufacturing, retail, telecommunications, and government are increasingly outsourcing IT service delivery to managed service providers. Concurrently, the sophistication of client procurement practices is rising. Enterprise procurement teams now evaluate IT service providers against formal service management criteria. Government procurement, particularly post-PDNS, has moved decisively toward requiring independently verified IT service management and security credentials.</w:t>
      </w:r>
    </w:p>
    <w:p>
      <w:pPr>
        <w:spacing w:after="160" w:line="320"/>
        <w:jc w:val="both"/>
      </w:pPr>
      <w:r>
        <w:rPr>
          <w:rFonts w:ascii="Georgia" w:cs="Georgia" w:eastAsia="Georgia" w:hAnsi="Georgia"/>
          <w:b w:val="false"/>
          <w:bCs w:val="false"/>
          <w:color w:val="111827"/>
          <w:sz w:val="22"/>
          <w:szCs w:val="22"/>
        </w:rPr>
        <w:t xml:space="preserve">The competitive environment for MSPs in Indonesia has shifted. Smaller MSPs competing on cost alone now face pressure from better-capitalized competitors offering formal service management assurance. Mid-market MSPs recognize that certification differentiates them in procurement evaluations. The most successful MSPs are investing in ISO 20000 certification as a core business development strategy.</w:t>
      </w:r>
    </w:p>
    <w:p>
      <w:pPr>
        <w:pBdr>
          <w:bottom w:val="single" w:color="2563A8" w:sz="4" w:space="4"/>
        </w:pBdr>
        <w:spacing w:after="160" w:before="400"/>
      </w:pPr>
      <w:r>
        <w:rPr>
          <w:rFonts w:ascii="Arial" w:cs="Arial" w:eastAsia="Arial" w:hAnsi="Arial"/>
          <w:b/>
          <w:bCs/>
          <w:caps w:val="false"/>
          <w:color w:val="1B3A5C"/>
          <w:sz w:val="28"/>
          <w:szCs w:val="28"/>
        </w:rPr>
        <w:t xml:space="preserve">How ISO 20000 Positions MSPs Commercially</w:t>
      </w:r>
    </w:p>
    <w:p>
      <w:pPr>
        <w:spacing w:after="80" w:before="200"/>
      </w:pPr>
      <w:r>
        <w:rPr>
          <w:rFonts w:ascii="Arial" w:cs="Arial" w:eastAsia="Arial" w:hAnsi="Arial"/>
          <w:b/>
          <w:bCs/>
          <w:caps w:val="false"/>
          <w:color w:val="1B3A5C"/>
          <w:sz w:val="22"/>
          <w:szCs w:val="22"/>
        </w:rPr>
        <w:t xml:space="preserve">Procurement Differentiation</w:t>
      </w:r>
    </w:p>
    <w:p>
      <w:pPr>
        <w:spacing w:after="160" w:line="320"/>
        <w:jc w:val="both"/>
      </w:pPr>
      <w:r>
        <w:rPr>
          <w:rFonts w:ascii="Georgia" w:cs="Georgia" w:eastAsia="Georgia" w:hAnsi="Georgia"/>
          <w:b w:val="false"/>
          <w:bCs w:val="false"/>
          <w:color w:val="111827"/>
          <w:sz w:val="22"/>
          <w:szCs w:val="22"/>
        </w:rPr>
        <w:t xml:space="preserve">Increasingly, enterprise and government tenders for IT service management include IT service management certification as an evaluation criterion. In government procurement under LKPP frameworks, ISO 20000 certification is explicitly requested in technical qualification criteria. In enterprise RFPs, evaluators use ITIL capability and certification as a proxy for SMS maturity. MSPs with ISO 20000 certification move to shortlists while uncertified competitors are filtered out in preliminary evaluation rounds.</w:t>
      </w:r>
    </w:p>
    <w:p>
      <w:pPr>
        <w:spacing w:after="160" w:line="320"/>
        <w:jc w:val="both"/>
      </w:pPr>
      <w:r>
        <w:rPr>
          <w:rFonts w:ascii="Georgia" w:cs="Georgia" w:eastAsia="Georgia" w:hAnsi="Georgia"/>
          <w:b w:val="false"/>
          <w:bCs w:val="false"/>
          <w:color w:val="111827"/>
          <w:sz w:val="22"/>
          <w:szCs w:val="22"/>
        </w:rPr>
        <w:t xml:space="preserve">This filtration effect is powerful. A tender may receive 20 qualified bidders, but the evaluation committee narrows to a shortlist of 5–8 based on certification status and prior experience. An MSP without ISO 20000 certification may be excluded from the shortlist before detailed proposal evaluation. The certification thus functions as a business development gating criterion.</w:t>
      </w:r>
    </w:p>
    <w:p>
      <w:pPr>
        <w:spacing w:after="80" w:before="200"/>
      </w:pPr>
      <w:r>
        <w:rPr>
          <w:rFonts w:ascii="Arial" w:cs="Arial" w:eastAsia="Arial" w:hAnsi="Arial"/>
          <w:b/>
          <w:bCs/>
          <w:caps w:val="false"/>
          <w:color w:val="1B3A5C"/>
          <w:sz w:val="22"/>
          <w:szCs w:val="22"/>
        </w:rPr>
        <w:t xml:space="preserve">Due Diligence Efficiency</w:t>
      </w:r>
    </w:p>
    <w:p>
      <w:pPr>
        <w:spacing w:after="160" w:line="320"/>
        <w:jc w:val="both"/>
      </w:pPr>
      <w:r>
        <w:rPr>
          <w:rFonts w:ascii="Georgia" w:cs="Georgia" w:eastAsia="Georgia" w:hAnsi="Georgia"/>
          <w:b w:val="false"/>
          <w:bCs w:val="false"/>
          <w:color w:val="111827"/>
          <w:sz w:val="22"/>
          <w:szCs w:val="22"/>
        </w:rPr>
        <w:t xml:space="preserve">Enterprise clients, particularly those in regulated sectors (financial services, insurance, critical infrastructure), conduct IT due diligence on potential service providers. Client IT governance teams evaluate the provider's SMS capability, IT security posture, IT operational resilience, and governance maturity. Bespoke vendor assessments are time-consuming and expensive — a detailed IT vendor assessment may require 40–60 hours of client staff effort plus engagement of external audit resources.</w:t>
      </w:r>
    </w:p>
    <w:p>
      <w:pPr>
        <w:spacing w:after="160" w:line="320"/>
        <w:jc w:val="both"/>
      </w:pPr>
      <w:r>
        <w:rPr>
          <w:rFonts w:ascii="Georgia" w:cs="Georgia" w:eastAsia="Georgia" w:hAnsi="Georgia"/>
          <w:b w:val="false"/>
          <w:bCs w:val="false"/>
          <w:color w:val="111827"/>
          <w:sz w:val="22"/>
          <w:szCs w:val="22"/>
        </w:rPr>
        <w:t xml:space="preserve">ISO 20000 certification substantially reduces this burden. Client IT governance teams can reference the ISO 20000 certificate as evidence of SMS capability without conducting extensive proprietary assessments. The certificate signals independent third-party verification that the provider's SMS meets ISO 20000 standards. This reduces sales cycle friction significantly — a 6-month sales cycle for an uncertified MSP may compress to 3 months for a certified competitor.</w:t>
      </w:r>
    </w:p>
    <w:p>
      <w:pPr>
        <w:spacing w:after="80" w:before="200"/>
      </w:pPr>
      <w:r>
        <w:rPr>
          <w:rFonts w:ascii="Arial" w:cs="Arial" w:eastAsia="Arial" w:hAnsi="Arial"/>
          <w:b/>
          <w:bCs/>
          <w:caps w:val="false"/>
          <w:color w:val="1B3A5C"/>
          <w:sz w:val="22"/>
          <w:szCs w:val="22"/>
        </w:rPr>
        <w:t xml:space="preserve">Pricing Power</w:t>
      </w:r>
    </w:p>
    <w:p>
      <w:pPr>
        <w:spacing w:after="160" w:line="320"/>
        <w:jc w:val="both"/>
      </w:pPr>
      <w:r>
        <w:rPr>
          <w:rFonts w:ascii="Georgia" w:cs="Georgia" w:eastAsia="Georgia" w:hAnsi="Georgia"/>
          <w:b w:val="false"/>
          <w:bCs w:val="false"/>
          <w:color w:val="111827"/>
          <w:sz w:val="22"/>
          <w:szCs w:val="22"/>
        </w:rPr>
        <w:t xml:space="preserve">MSPs with certified SMS can justify premium pricing. Clients understand that certified service management requires investment in processes, tools, training, and independent audit. Clients also understand that certified SMS reduces their own operational risk and governance burden. An MSP with ISO 20000 certification can command 10–20% pricing premium relative to uncertified competitors offering similar infrastructure capabilities. The premium reflects the risk reduction and governance value that certification provides.</w:t>
      </w:r>
    </w:p>
    <w:p>
      <w:pPr>
        <w:spacing w:after="80" w:before="200"/>
      </w:pPr>
      <w:r>
        <w:rPr>
          <w:rFonts w:ascii="Arial" w:cs="Arial" w:eastAsia="Arial" w:hAnsi="Arial"/>
          <w:b/>
          <w:bCs/>
          <w:caps w:val="false"/>
          <w:color w:val="1B3A5C"/>
          <w:sz w:val="22"/>
          <w:szCs w:val="22"/>
        </w:rPr>
        <w:t xml:space="preserve">Client Retention</w:t>
      </w:r>
    </w:p>
    <w:p>
      <w:pPr>
        <w:spacing w:after="160" w:line="320"/>
        <w:jc w:val="both"/>
      </w:pPr>
      <w:r>
        <w:rPr>
          <w:rFonts w:ascii="Georgia" w:cs="Georgia" w:eastAsia="Georgia" w:hAnsi="Georgia"/>
          <w:b w:val="false"/>
          <w:bCs w:val="false"/>
          <w:color w:val="111827"/>
          <w:sz w:val="22"/>
          <w:szCs w:val="22"/>
        </w:rPr>
        <w:t xml:space="preserve">Once a client has audited an MSP's ISO 20000 SMS and integrated their own governance requirements into the service relationship, switching to an uncertified alternative becomes organizationally risky. The client's procurement function has already approved the relationship based on the certified SMS. The client's risk management framework has documented reliance on the certified SMS. Switching to an uncertified provider would require re-approval and re-risk-assessment. This creates substantial switching costs that reduce client churn.</w:t>
      </w:r>
    </w:p>
    <w:p>
      <w:pPr>
        <w:pBdr>
          <w:bottom w:val="single" w:color="2563A8" w:sz="4" w:space="4"/>
        </w:pBdr>
        <w:spacing w:after="160" w:before="400"/>
      </w:pPr>
      <w:r>
        <w:rPr>
          <w:rFonts w:ascii="Arial" w:cs="Arial" w:eastAsia="Arial" w:hAnsi="Arial"/>
          <w:b/>
          <w:bCs/>
          <w:caps w:val="false"/>
          <w:color w:val="1B3A5C"/>
          <w:sz w:val="28"/>
          <w:szCs w:val="28"/>
        </w:rPr>
        <w:t xml:space="preserve">MSP-Specific Scope Considerations</w:t>
      </w:r>
    </w:p>
    <w:p>
      <w:pPr>
        <w:spacing w:after="80" w:before="200"/>
      </w:pPr>
      <w:r>
        <w:rPr>
          <w:rFonts w:ascii="Arial" w:cs="Arial" w:eastAsia="Arial" w:hAnsi="Arial"/>
          <w:b/>
          <w:bCs/>
          <w:caps w:val="false"/>
          <w:color w:val="1B3A5C"/>
          <w:sz w:val="22"/>
          <w:szCs w:val="22"/>
        </w:rPr>
        <w:t xml:space="preserve">Multi-Client Scoping</w:t>
      </w:r>
    </w:p>
    <w:p>
      <w:pPr>
        <w:spacing w:after="160" w:line="320"/>
        <w:jc w:val="both"/>
      </w:pPr>
      <w:r>
        <w:rPr>
          <w:rFonts w:ascii="Georgia" w:cs="Georgia" w:eastAsia="Georgia" w:hAnsi="Georgia"/>
          <w:b w:val="false"/>
          <w:bCs w:val="false"/>
          <w:color w:val="111827"/>
          <w:sz w:val="22"/>
          <w:szCs w:val="22"/>
        </w:rPr>
        <w:t xml:space="preserve">An MSP's SMS covers multiple clients' services simultaneously. The scope statement must clearly describe the services covered — by service type (network management, managed desktop, data center hosting), by client segment (enterprise, government, SME), or by technology stack (Microsoft, VMware, Linux) — without necessarily identifying individual clients where confidential.</w:t>
      </w:r>
    </w:p>
    <w:p>
      <w:pPr>
        <w:spacing w:after="160" w:line="320"/>
        <w:jc w:val="both"/>
      </w:pPr>
      <w:r>
        <w:rPr>
          <w:rFonts w:ascii="Georgia" w:cs="Georgia" w:eastAsia="Georgia" w:hAnsi="Georgia"/>
          <w:b w:val="false"/>
          <w:bCs w:val="false"/>
          <w:color w:val="111827"/>
          <w:sz w:val="22"/>
          <w:szCs w:val="22"/>
        </w:rPr>
        <w:t xml:space="preserve">A well-drafted scope statement for a multi-client MSP might read: "The scope of this SMS covers managed IT services for enterprise clients including network design and management, managed servers, managed desktop services, and managed security services delivered across multiple data center facilities in Indonesia and Singapore." This describes what is covered without listing individual client names, which may be confidential or subject to non-disclosure agreements.</w:t>
      </w:r>
    </w:p>
    <w:p>
      <w:pPr>
        <w:spacing w:after="80" w:before="200"/>
      </w:pPr>
      <w:r>
        <w:rPr>
          <w:rFonts w:ascii="Arial" w:cs="Arial" w:eastAsia="Arial" w:hAnsi="Arial"/>
          <w:b/>
          <w:bCs/>
          <w:caps w:val="false"/>
          <w:color w:val="1B3A5C"/>
          <w:sz w:val="22"/>
          <w:szCs w:val="22"/>
        </w:rPr>
        <w:t xml:space="preserve">Shared Service Management Infrastructure</w:t>
      </w:r>
    </w:p>
    <w:p>
      <w:pPr>
        <w:spacing w:after="160" w:line="320"/>
        <w:jc w:val="both"/>
      </w:pPr>
      <w:r>
        <w:rPr>
          <w:rFonts w:ascii="Georgia" w:cs="Georgia" w:eastAsia="Georgia" w:hAnsi="Georgia"/>
          <w:b w:val="false"/>
          <w:bCs w:val="false"/>
          <w:color w:val="111827"/>
          <w:sz w:val="22"/>
          <w:szCs w:val="22"/>
        </w:rPr>
        <w:t xml:space="preserve">Multi-client MSPs share service management infrastructure: a single incident management system, change management process, CMDB, and service desk serve all clients. Client-specific incident management is supported by shared tooling with role-based access controls that restrict visibility to client-specific data.</w:t>
      </w:r>
    </w:p>
    <w:p>
      <w:pPr>
        <w:spacing w:after="160" w:line="320"/>
        <w:jc w:val="both"/>
      </w:pPr>
      <w:r>
        <w:rPr>
          <w:rFonts w:ascii="Georgia" w:cs="Georgia" w:eastAsia="Georgia" w:hAnsi="Georgia"/>
          <w:b w:val="false"/>
          <w:bCs w:val="false"/>
          <w:color w:val="111827"/>
          <w:sz w:val="22"/>
          <w:szCs w:val="22"/>
        </w:rPr>
        <w:t xml:space="preserve">The SMS documentation must describe how client confidentiality is maintained within shared systems. For example, the incident management procedure must specify that incident records for Client A are inaccessible to Client B. The CMDB access control policy must ensure that Client B cannot view Client A's CIs. The service review process must describe separate client-specific service review meetings conducted from a single shared metrics database.</w:t>
      </w:r>
    </w:p>
    <w:p>
      <w:pPr>
        <w:spacing w:after="80" w:before="200"/>
      </w:pPr>
      <w:r>
        <w:rPr>
          <w:rFonts w:ascii="Arial" w:cs="Arial" w:eastAsia="Arial" w:hAnsi="Arial"/>
          <w:b/>
          <w:bCs/>
          <w:caps w:val="false"/>
          <w:color w:val="1B3A5C"/>
          <w:sz w:val="22"/>
          <w:szCs w:val="22"/>
        </w:rPr>
        <w:t xml:space="preserve">Client-Specific SLAs</w:t>
      </w:r>
    </w:p>
    <w:p>
      <w:pPr>
        <w:spacing w:after="160" w:line="320"/>
        <w:jc w:val="both"/>
      </w:pPr>
      <w:r>
        <w:rPr>
          <w:rFonts w:ascii="Georgia" w:cs="Georgia" w:eastAsia="Georgia" w:hAnsi="Georgia"/>
          <w:b w:val="false"/>
          <w:bCs w:val="false"/>
          <w:color w:val="111827"/>
          <w:sz w:val="22"/>
          <w:szCs w:val="22"/>
        </w:rPr>
        <w:t xml:space="preserve">Each client typically has a separate service agreement with potentially different SLA targets, service hours, and escalation contacts. One client may require 24x7 support with 4-hour response time on Priority 1 incidents; another may require business-hours support with 8-hour response time. The SLA management practice must handle this complexity.</w:t>
      </w:r>
    </w:p>
    <w:p>
      <w:pPr>
        <w:spacing w:after="160" w:line="320"/>
        <w:jc w:val="both"/>
      </w:pPr>
      <w:r>
        <w:rPr>
          <w:rFonts w:ascii="Georgia" w:cs="Georgia" w:eastAsia="Georgia" w:hAnsi="Georgia"/>
          <w:b w:val="false"/>
          <w:bCs w:val="false"/>
          <w:color w:val="111827"/>
          <w:sz w:val="22"/>
          <w:szCs w:val="22"/>
        </w:rPr>
        <w:t xml:space="preserve">The SMS SLA template must be client-generic but allow parameterization for client-specific targets. Service level reporting must aggregate performance across all clients and separately report per-client performance. The MSP must maintain statistical capability to analyze whether current SLA targets are achievable and whether operational resources are adequate to meet all concurrent client SLAs.</w:t>
      </w:r>
    </w:p>
    <w:p>
      <w:pPr>
        <w:spacing w:after="80" w:before="200"/>
      </w:pPr>
      <w:r>
        <w:rPr>
          <w:rFonts w:ascii="Arial" w:cs="Arial" w:eastAsia="Arial" w:hAnsi="Arial"/>
          <w:b/>
          <w:bCs/>
          <w:caps w:val="false"/>
          <w:color w:val="1B3A5C"/>
          <w:sz w:val="22"/>
          <w:szCs w:val="22"/>
        </w:rPr>
        <w:t xml:space="preserve">Dedicated vs Shared Resources</w:t>
      </w:r>
    </w:p>
    <w:p>
      <w:pPr>
        <w:spacing w:after="160" w:line="320"/>
        <w:jc w:val="both"/>
      </w:pPr>
      <w:r>
        <w:rPr>
          <w:rFonts w:ascii="Georgia" w:cs="Georgia" w:eastAsia="Georgia" w:hAnsi="Georgia"/>
          <w:b w:val="false"/>
          <w:bCs w:val="false"/>
          <w:color w:val="111827"/>
          <w:sz w:val="22"/>
          <w:szCs w:val="22"/>
        </w:rPr>
        <w:t xml:space="preserve">Some clients may require dedicated service desk staff, dedicated NOC monitoring personnel, or dedicated infrastructure. Other clients may accept shared resources with priority queuing during contention. The SMS scope must clearly identify which service elements are dedicated vs shared for each client class.</w:t>
      </w:r>
    </w:p>
    <w:p>
      <w:pPr>
        <w:pBdr>
          <w:bottom w:val="single" w:color="2563A8" w:sz="4" w:space="4"/>
        </w:pBdr>
        <w:spacing w:after="160" w:before="400"/>
      </w:pPr>
      <w:r>
        <w:rPr>
          <w:rFonts w:ascii="Arial" w:cs="Arial" w:eastAsia="Arial" w:hAnsi="Arial"/>
          <w:b/>
          <w:bCs/>
          <w:caps w:val="false"/>
          <w:color w:val="1B3A5C"/>
          <w:sz w:val="28"/>
          <w:szCs w:val="28"/>
        </w:rPr>
        <w:t xml:space="preserve">Multi-Client Incident Management</w:t>
      </w:r>
    </w:p>
    <w:p>
      <w:pPr>
        <w:spacing w:after="160" w:line="320"/>
        <w:jc w:val="both"/>
      </w:pPr>
      <w:r>
        <w:rPr>
          <w:rFonts w:ascii="Georgia" w:cs="Georgia" w:eastAsia="Georgia" w:hAnsi="Georgia"/>
          <w:b w:val="false"/>
          <w:bCs w:val="false"/>
          <w:color w:val="111827"/>
          <w:sz w:val="22"/>
          <w:szCs w:val="22"/>
        </w:rPr>
        <w:t xml:space="preserve">Within a shared incident management system, client identification in incident records is essential. Every incident must be tagged with the affected client identifier. Client-specific escalation paths must be defined and integrated into the incident escalation procedure. When a Priority 1 incident occurs, the system must automatically escalate to the client's designated escalation contact based on the client identifier.</w:t>
      </w:r>
    </w:p>
    <w:p>
      <w:pPr>
        <w:spacing w:after="160" w:line="320"/>
        <w:jc w:val="both"/>
      </w:pPr>
      <w:r>
        <w:rPr>
          <w:rFonts w:ascii="Georgia" w:cs="Georgia" w:eastAsia="Georgia" w:hAnsi="Georgia"/>
          <w:b w:val="false"/>
          <w:bCs w:val="false"/>
          <w:color w:val="111827"/>
          <w:sz w:val="22"/>
          <w:szCs w:val="22"/>
        </w:rPr>
        <w:t xml:space="preserve">Client notification during major incidents must occur through client-specific communication channels. Each client may have preferred communication methods (email, phone, SMS, client portal) and preferred notification recipients. The incident management procedure must specify client notification decision-making and must track notification completion.</w:t>
      </w:r>
    </w:p>
    <w:p>
      <w:pPr>
        <w:spacing w:after="160" w:line="320"/>
        <w:jc w:val="both"/>
      </w:pPr>
      <w:r>
        <w:rPr>
          <w:rFonts w:ascii="Georgia" w:cs="Georgia" w:eastAsia="Georgia" w:hAnsi="Georgia"/>
          <w:b w:val="false"/>
          <w:bCs w:val="false"/>
          <w:color w:val="111827"/>
          <w:sz w:val="22"/>
          <w:szCs w:val="22"/>
        </w:rPr>
        <w:t xml:space="preserve">Critical to multi-client management: incident records for Client A must be inaccessible to Client B. If an MSP stores incident data in a shared system with inadequate access controls, it risks breaching client confidentiality. Some MSPs use database-level client segregation (separate schemas per client); others use application-level access control. Both approaches work if correctly implemented and tested.</w:t>
      </w:r>
    </w:p>
    <w:p>
      <w:pPr>
        <w:pBdr>
          <w:bottom w:val="single" w:color="2563A8" w:sz="4" w:space="4"/>
        </w:pBdr>
        <w:spacing w:after="160" w:before="400"/>
      </w:pPr>
      <w:r>
        <w:rPr>
          <w:rFonts w:ascii="Arial" w:cs="Arial" w:eastAsia="Arial" w:hAnsi="Arial"/>
          <w:b/>
          <w:bCs/>
          <w:caps w:val="false"/>
          <w:color w:val="1B3A5C"/>
          <w:sz w:val="28"/>
          <w:szCs w:val="28"/>
        </w:rPr>
        <w:t xml:space="preserve">Multi-Client CMDB and Configuration Management</w:t>
      </w:r>
    </w:p>
    <w:p>
      <w:pPr>
        <w:spacing w:after="160" w:line="320"/>
        <w:jc w:val="both"/>
      </w:pPr>
      <w:r>
        <w:rPr>
          <w:rFonts w:ascii="Georgia" w:cs="Georgia" w:eastAsia="Georgia" w:hAnsi="Georgia"/>
          <w:b w:val="false"/>
          <w:bCs w:val="false"/>
          <w:color w:val="111827"/>
          <w:sz w:val="22"/>
          <w:szCs w:val="22"/>
        </w:rPr>
        <w:t xml:space="preserve">In a multi-client MSP, the CMDB must be organized by client. Infrastructure shared across multiple clients (top-of-rack switches, SAN storage, hypervisor clusters) will have CIs that relate to multiple clients simultaneously. The CMDB must reflect these relationships while maintaining client-specific views.</w:t>
      </w:r>
    </w:p>
    <w:p>
      <w:pPr>
        <w:spacing w:after="160" w:line="320"/>
        <w:jc w:val="both"/>
      </w:pPr>
      <w:r>
        <w:rPr>
          <w:rFonts w:ascii="Georgia" w:cs="Georgia" w:eastAsia="Georgia" w:hAnsi="Georgia"/>
          <w:b w:val="false"/>
          <w:bCs w:val="false"/>
          <w:color w:val="111827"/>
          <w:sz w:val="22"/>
          <w:szCs w:val="22"/>
        </w:rPr>
        <w:t xml:space="preserve">Access control in the CMDB must prevent Client A from viewing Client B's CIs. This is a critical operational requirement — a financial services client will not accept a situation where their infrastructure diagram is visible to a competing financial institution's account team. The CMDB access control configuration must be tested and audited.</w:t>
      </w:r>
    </w:p>
    <w:p>
      <w:pPr>
        <w:pBdr>
          <w:bottom w:val="single" w:color="2563A8" w:sz="4" w:space="4"/>
        </w:pBdr>
        <w:spacing w:after="160" w:before="400"/>
      </w:pPr>
      <w:r>
        <w:rPr>
          <w:rFonts w:ascii="Arial" w:cs="Arial" w:eastAsia="Arial" w:hAnsi="Arial"/>
          <w:b/>
          <w:bCs/>
          <w:caps w:val="false"/>
          <w:color w:val="1B3A5C"/>
          <w:sz w:val="28"/>
          <w:szCs w:val="28"/>
        </w:rPr>
        <w:t xml:space="preserve">Multi-Client Change Management</w:t>
      </w:r>
    </w:p>
    <w:p>
      <w:pPr>
        <w:spacing w:after="160" w:line="320"/>
        <w:jc w:val="both"/>
      </w:pPr>
      <w:r>
        <w:rPr>
          <w:rFonts w:ascii="Georgia" w:cs="Georgia" w:eastAsia="Georgia" w:hAnsi="Georgia"/>
          <w:b w:val="false"/>
          <w:bCs w:val="false"/>
          <w:color w:val="111827"/>
          <w:sz w:val="22"/>
          <w:szCs w:val="22"/>
        </w:rPr>
        <w:t xml:space="preserve">Changes may affect single clients (a change to Client A's DNS configuration) or multiple clients (a hypervisor firmware update affecting shared infrastructure hosting Client A and Client B workloads). The change management procedure must handle both scenarios.</w:t>
      </w:r>
    </w:p>
    <w:p>
      <w:pPr>
        <w:spacing w:after="160" w:line="320"/>
        <w:jc w:val="both"/>
      </w:pPr>
      <w:r>
        <w:rPr>
          <w:rFonts w:ascii="Georgia" w:cs="Georgia" w:eastAsia="Georgia" w:hAnsi="Georgia"/>
          <w:b w:val="false"/>
          <w:bCs w:val="false"/>
          <w:color w:val="111827"/>
          <w:sz w:val="22"/>
          <w:szCs w:val="22"/>
        </w:rPr>
        <w:t xml:space="preserve">Client-specific change windows are typically defined in SLAs or agreements. Client A may permit changes only between 22:00 and 06:00 on Friday nights; Client B may permit changes 24x7. When a change affects shared infrastructure with different client change windows, the MSP must either schedule the change during a window acceptable to all affected clients or must accept higher change risk. The change management procedure must make this trade-off explicit.</w:t>
      </w:r>
    </w:p>
    <w:p>
      <w:pPr>
        <w:spacing w:after="160" w:line="320"/>
        <w:jc w:val="both"/>
      </w:pPr>
      <w:r>
        <w:rPr>
          <w:rFonts w:ascii="Georgia" w:cs="Georgia" w:eastAsia="Georgia" w:hAnsi="Georgia"/>
          <w:b w:val="false"/>
          <w:bCs w:val="false"/>
          <w:color w:val="111827"/>
          <w:sz w:val="22"/>
          <w:szCs w:val="22"/>
        </w:rPr>
        <w:t xml:space="preserve">Change notification to clients must occur separately for each affected client through client-specific communication channels. The change log must tag each change with the affected client(s) and must track client notification completion.</w:t>
      </w:r>
    </w:p>
    <w:p>
      <w:pPr>
        <w:pBdr>
          <w:bottom w:val="single" w:color="2563A8" w:sz="4" w:space="4"/>
        </w:pBdr>
        <w:spacing w:after="160" w:before="400"/>
      </w:pPr>
      <w:r>
        <w:rPr>
          <w:rFonts w:ascii="Arial" w:cs="Arial" w:eastAsia="Arial" w:hAnsi="Arial"/>
          <w:b/>
          <w:bCs/>
          <w:caps w:val="false"/>
          <w:color w:val="1B3A5C"/>
          <w:sz w:val="28"/>
          <w:szCs w:val="28"/>
        </w:rPr>
        <w:t xml:space="preserve">Multi-Client Service Reviews</w:t>
      </w:r>
    </w:p>
    <w:p>
      <w:pPr>
        <w:spacing w:after="160" w:line="320"/>
        <w:jc w:val="both"/>
      </w:pPr>
      <w:r>
        <w:rPr>
          <w:rFonts w:ascii="Georgia" w:cs="Georgia" w:eastAsia="Georgia" w:hAnsi="Georgia"/>
          <w:b w:val="false"/>
          <w:bCs w:val="false"/>
          <w:color w:val="111827"/>
          <w:sz w:val="22"/>
          <w:szCs w:val="22"/>
        </w:rPr>
        <w:t xml:space="preserve">Separate service review meetings are conducted for each client. These meetings cover SLA performance, incident trends, change activity, improvements implemented, and improvement plans for the next period. A unified set of underlying metrics feeds all client service reviews.</w:t>
      </w:r>
    </w:p>
    <w:p>
      <w:pPr>
        <w:spacing w:after="160" w:line="320"/>
        <w:jc w:val="both"/>
      </w:pPr>
      <w:r>
        <w:rPr>
          <w:rFonts w:ascii="Georgia" w:cs="Georgia" w:eastAsia="Georgia" w:hAnsi="Georgia"/>
          <w:b w:val="false"/>
          <w:bCs w:val="false"/>
          <w:color w:val="111827"/>
          <w:sz w:val="22"/>
          <w:szCs w:val="22"/>
        </w:rPr>
        <w:t xml:space="preserve">From an operational efficiency perspective, a single undifferentiated service review meeting with all clients is not feasible — clients do not want to see other clients' performance data or sit in meetings discussing non-applicable infrastructure. Separate client meetings require that the MSP organize service review data by client, which the shared metrics platform must support.</w:t>
      </w:r>
    </w:p>
    <w:p>
      <w:pPr>
        <w:pBdr>
          <w:bottom w:val="single" w:color="2563A8" w:sz="4" w:space="4"/>
        </w:pBdr>
        <w:spacing w:after="160" w:before="400"/>
      </w:pPr>
      <w:r>
        <w:rPr>
          <w:rFonts w:ascii="Arial" w:cs="Arial" w:eastAsia="Arial" w:hAnsi="Arial"/>
          <w:b/>
          <w:bCs/>
          <w:caps w:val="false"/>
          <w:color w:val="1B3A5C"/>
          <w:sz w:val="28"/>
          <w:szCs w:val="28"/>
        </w:rPr>
        <w:t xml:space="preserve">The MSP Implementation Journey</w:t>
      </w:r>
    </w:p>
    <w:p>
      <w:pPr>
        <w:spacing w:after="160" w:line="320"/>
        <w:jc w:val="both"/>
      </w:pPr>
      <w:r>
        <w:rPr>
          <w:rFonts w:ascii="Georgia" w:cs="Georgia" w:eastAsia="Georgia" w:hAnsi="Georgia"/>
          <w:b w:val="false"/>
          <w:bCs w:val="false"/>
          <w:color w:val="111827"/>
          <w:sz w:val="22"/>
          <w:szCs w:val="22"/>
        </w:rPr>
        <w:t xml:space="preserve">Most Indonesian MSPs begin with informal ITIL processes — incident tracking in Excel or ticketing system without formality, changes managed through email approval, configuration tracking incomplete. Few MSPs have a documented SMS at certification readiness.</w:t>
      </w:r>
    </w:p>
    <w:p>
      <w:pPr>
        <w:spacing w:after="160" w:line="320"/>
        <w:jc w:val="both"/>
      </w:pPr>
      <w:r>
        <w:rPr>
          <w:rFonts w:ascii="Georgia" w:cs="Georgia" w:eastAsia="Georgia" w:hAnsi="Georgia"/>
          <w:b w:val="false"/>
          <w:bCs w:val="false"/>
          <w:color w:val="111827"/>
          <w:sz w:val="22"/>
          <w:szCs w:val="22"/>
        </w:rPr>
        <w:t xml:space="preserve">A recommended approach for initial certification: start with 2–3 major clients representing the full service portfolio, rather than attempting to certify the entire client base immediately. A scoped certification might read: "This SMS covers managed IT services for three enterprise clients in the financial services and manufacturing sectors, including network management, server management, and managed security services." This scoped certification is credible with clients and prospects; full client portfolio certification can follow in a subsequent cycle.</w:t>
      </w:r>
    </w:p>
    <w:p>
      <w:pPr>
        <w:spacing w:after="160" w:line="320"/>
        <w:jc w:val="both"/>
      </w:pPr>
      <w:r>
        <w:rPr>
          <w:rFonts w:ascii="Georgia" w:cs="Georgia" w:eastAsia="Georgia" w:hAnsi="Georgia"/>
          <w:b w:val="false"/>
          <w:bCs w:val="false"/>
          <w:color w:val="111827"/>
          <w:sz w:val="22"/>
          <w:szCs w:val="22"/>
        </w:rPr>
        <w:t xml:space="preserve">The implementation timeline is typically 12–18 months: months 1–3 gap assessment and planning, months 4–9 procedure documentation and tool implementation, months 10–15 pilot operation and evidence collection, months 16–18 internal audit and certification audit readiness.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For MSPs, ISO 20000 is not just a compliance exercise — it is a service delivery discipline that directly reduces the cost of client complaints, SLA penalties, and churn. The SMS makes multi-client management more efficient, not just more documented.</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Client confidentiality within a multi-client SMS is a real operational requirement. Incident records, service reports, and CMDB data for one client must be inaccessible to other clients. ITSM tool access controls must enforce this, and auditors may test it.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multi-client SMS management — client-segregated incident management, CMDB, and reporting with unified ISO 20000 governance across the MSP's entire client portfolio.</w:t>
            </w:r>
          </w:p>
        </w:tc>
      </w:tr>
    </w:tbl>
    <w:p>
      <w:pPr>
        <w:pBdr>
          <w:bottom w:val="single" w:color="2563A8" w:sz="4" w:space="4"/>
        </w:pBdr>
        <w:spacing w:after="160" w:before="400"/>
      </w:pPr>
      <w:r>
        <w:rPr>
          <w:rFonts w:ascii="Arial" w:cs="Arial" w:eastAsia="Arial" w:hAnsi="Arial"/>
          <w:b/>
          <w:bCs/>
          <w:caps w:val="false"/>
          <w:color w:val="1B3A5C"/>
          <w:sz w:val="28"/>
          <w:szCs w:val="28"/>
        </w:rPr>
        <w:t xml:space="preserve">MSP Scope Considerations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SMS Element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Single-Client Approach</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Multi-Client Approach</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Challenge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incident queue for one client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Shared queue with client-specific escalation paths and access control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Preventing cross-client visibility of incident data</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CMDB and CI Tracking</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CIs organized by infrastructure type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CIs organized by client with shared infrastructure relationships mapped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Maintaining access control so clients cannot view each other's CIs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change window aligned to client business hours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Multiple change windows per client; coordinated scheduling for shared infrastructure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Scheduling changes affecting multiple clients with different change windows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SLA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SLA document with uniform targets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Client-specific SLA documents with different targets, hours, escalation contacts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Maintaining resource allocation to meet concurrent client SLA commitments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Review Process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monthly/quarterly review meeting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Separate review meetings per client from unified metrics database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Scaling service review operation across many clients without exponential effort</w:t>
            </w:r>
          </w:p>
        </w:tc>
      </w:tr>
    </w:tbl>
    <w:p>
      <w:pPr>
        <w:pBdr>
          <w:bottom w:val="single" w:color="2563A8" w:sz="4" w:space="4"/>
        </w:pBdr>
        <w:spacing w:after="160" w:before="400"/>
      </w:pPr>
      <w:r>
        <w:rPr>
          <w:rFonts w:ascii="Arial" w:cs="Arial" w:eastAsia="Arial" w:hAnsi="Arial"/>
          <w:b/>
          <w:bCs/>
          <w:caps w:val="false"/>
          <w:color w:val="1B3A5C"/>
          <w:sz w:val="28"/>
          <w:szCs w:val="28"/>
        </w:rPr>
        <w:t xml:space="preserve">MSP ISO 20000 Commercial Benefits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Benefit Area</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Description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Measurable Impact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Timeline to Realize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Procurement Qualification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certification removes procurement disqualification risk; MSP advances to evaluation shortlist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60-70% of major tenders now require SMS certification; uncertified competitors filtered in preliminary round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 months post-certification (next procurement cycle)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Sales Cycle Compression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Client due diligence burden reduced; sales cycle shortens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Sales cycle for certified MSP: 3-4 months; uncertified competitor: 6-8 months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3-4 months post-certification (1-2 client wins)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Pricing Premium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Certified MSP can justify higher pricing relative to uncertified competitors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10-20% pricing premium vs uncertified MSP for equivalent infrastructure services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6-12 months post-certification (applied at contract renewal)</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Client Retention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Switching costs increase once client has approved certified SMS; reduced churn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5-10% improvement in contract renewal rate post-certification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12-18 months post-certification (contract renewal cycles)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Operational Efficiency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reduces operational friction, client escalations, and SLA penalty frequency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15-25% reduction in SLA breach incidents; proportional reduction in penalty exposure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6-9 months post-implementation (operational maturity)</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2026-04-05T09:57:33.693Z</dcterms:created>
  <dcterms:modified xsi:type="dcterms:W3CDTF">2026-04-05T09:57:33.693Z</dcterms:modified>
</cp:coreProperties>
</file>

<file path=docProps/custom.xml><?xml version="1.0" encoding="utf-8"?>
<Properties xmlns="http://schemas.openxmlformats.org/officeDocument/2006/custom-properties" xmlns:vt="http://schemas.openxmlformats.org/officeDocument/2006/docPropsVTypes"/>
</file>